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B95B" w14:textId="2540C2B7" w:rsidR="00DD4529" w:rsidRDefault="00DD4529" w:rsidP="00DD4529">
      <w:pPr>
        <w:jc w:val="both"/>
        <w:rPr>
          <w:rFonts w:cstheme="minorHAnsi"/>
          <w:b/>
          <w:lang w:val="en-AU"/>
        </w:rPr>
      </w:pPr>
      <w:r>
        <w:rPr>
          <w:rFonts w:cstheme="minorHAnsi"/>
          <w:b/>
          <w:lang w:val="en-AU"/>
        </w:rPr>
        <w:t>Please tick the box indicating the p</w:t>
      </w:r>
      <w:r w:rsidRPr="002B07D2">
        <w:rPr>
          <w:rFonts w:cstheme="minorHAnsi"/>
          <w:b/>
          <w:lang w:val="en-AU"/>
        </w:rPr>
        <w:t xml:space="preserve">referred </w:t>
      </w:r>
      <w:r>
        <w:rPr>
          <w:rFonts w:cstheme="minorHAnsi"/>
          <w:b/>
          <w:lang w:val="en-AU"/>
        </w:rPr>
        <w:t>m</w:t>
      </w:r>
      <w:r w:rsidRPr="0050780A">
        <w:rPr>
          <w:rFonts w:cstheme="minorHAnsi"/>
          <w:b/>
          <w:lang w:val="en-AU"/>
        </w:rPr>
        <w:t xml:space="preserve">ode </w:t>
      </w:r>
      <w:r>
        <w:rPr>
          <w:rFonts w:cstheme="minorHAnsi"/>
          <w:b/>
          <w:lang w:val="en-AU"/>
        </w:rPr>
        <w:t>o</w:t>
      </w:r>
      <w:r w:rsidRPr="0050780A">
        <w:rPr>
          <w:rFonts w:cstheme="minorHAnsi"/>
          <w:b/>
          <w:lang w:val="en-AU"/>
        </w:rPr>
        <w:t xml:space="preserve">f </w:t>
      </w:r>
      <w:r>
        <w:rPr>
          <w:rFonts w:cstheme="minorHAnsi"/>
          <w:b/>
          <w:lang w:val="en-AU"/>
        </w:rPr>
        <w:t>p</w:t>
      </w:r>
      <w:r w:rsidRPr="0050780A">
        <w:rPr>
          <w:rFonts w:cstheme="minorHAnsi"/>
          <w:b/>
          <w:lang w:val="en-AU"/>
        </w:rPr>
        <w:t>resentatio</w:t>
      </w:r>
      <w:r>
        <w:rPr>
          <w:rFonts w:cstheme="minorHAnsi"/>
          <w:b/>
          <w:lang w:val="en-AU"/>
        </w:rPr>
        <w:t>n:</w:t>
      </w:r>
    </w:p>
    <w:p w14:paraId="073FAEE7" w14:textId="77777777" w:rsidR="00DD4529" w:rsidRPr="00DD4529" w:rsidRDefault="00DD4529" w:rsidP="00DD4529">
      <w:pPr>
        <w:jc w:val="both"/>
        <w:rPr>
          <w:rFonts w:cstheme="minorHAnsi"/>
          <w:b/>
          <w:sz w:val="12"/>
          <w:szCs w:val="12"/>
          <w:lang w:val="en-AU"/>
        </w:rPr>
      </w:pPr>
      <w:r w:rsidRPr="002B07D2">
        <w:rPr>
          <w:rFonts w:cstheme="minorHAnsi"/>
          <w:b/>
          <w:lang w:val="en-A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9"/>
      </w:tblGrid>
      <w:tr w:rsidR="00DD4529" w14:paraId="62866EB6" w14:textId="77777777" w:rsidTr="00A34C29">
        <w:tc>
          <w:tcPr>
            <w:tcW w:w="3018" w:type="dxa"/>
          </w:tcPr>
          <w:p w14:paraId="31259B67" w14:textId="2F656940" w:rsidR="00DD4529" w:rsidRDefault="000F0F3B" w:rsidP="00A34C29">
            <w:pPr>
              <w:rPr>
                <w:rFonts w:eastAsia="Times New Roman" w:cstheme="minorHAnsi"/>
                <w:lang w:val="en-AU" w:eastAsia="en-AU"/>
              </w:rPr>
            </w:pPr>
            <w:sdt>
              <w:sdtPr>
                <w:rPr>
                  <w:rFonts w:eastAsia="Times New Roman" w:cstheme="minorHAnsi"/>
                  <w:lang w:val="en-AU" w:eastAsia="en-AU"/>
                </w:rPr>
                <w:id w:val="1585952555"/>
                <w14:checkbox>
                  <w14:checked w14:val="0"/>
                  <w14:checkedState w14:val="2612" w14:font="MS Gothic"/>
                  <w14:uncheckedState w14:val="2610" w14:font="MS Gothic"/>
                </w14:checkbox>
              </w:sdtPr>
              <w:sdtEndPr/>
              <w:sdtContent>
                <w:r w:rsidR="00DD4529">
                  <w:rPr>
                    <w:rFonts w:ascii="MS Gothic" w:eastAsia="MS Gothic" w:hAnsi="MS Gothic" w:cstheme="minorHAnsi" w:hint="eastAsia"/>
                    <w:lang w:val="en-AU" w:eastAsia="en-AU"/>
                  </w:rPr>
                  <w:t>☐</w:t>
                </w:r>
              </w:sdtContent>
            </w:sdt>
            <w:r w:rsidR="00DD4529">
              <w:rPr>
                <w:rFonts w:eastAsia="Times New Roman" w:cstheme="minorHAnsi"/>
                <w:lang w:val="en-AU" w:eastAsia="en-AU"/>
              </w:rPr>
              <w:t xml:space="preserve">  </w:t>
            </w:r>
            <w:r w:rsidR="00DD4529" w:rsidRPr="0050780A">
              <w:rPr>
                <w:rFonts w:eastAsia="Times New Roman" w:cstheme="minorHAnsi"/>
                <w:lang w:val="en-AU" w:eastAsia="en-AU"/>
              </w:rPr>
              <w:t xml:space="preserve">FREE PAPER </w:t>
            </w:r>
          </w:p>
        </w:tc>
        <w:tc>
          <w:tcPr>
            <w:tcW w:w="3018" w:type="dxa"/>
          </w:tcPr>
          <w:p w14:paraId="0AC77CD6" w14:textId="40C1E390" w:rsidR="00DD4529" w:rsidRDefault="000F0F3B" w:rsidP="00BE6A38">
            <w:pPr>
              <w:jc w:val="center"/>
              <w:rPr>
                <w:rFonts w:eastAsia="Times New Roman" w:cstheme="minorHAnsi"/>
                <w:lang w:val="en-AU" w:eastAsia="en-AU"/>
              </w:rPr>
            </w:pPr>
            <w:sdt>
              <w:sdtPr>
                <w:rPr>
                  <w:rFonts w:eastAsia="Times New Roman" w:cstheme="minorHAnsi"/>
                  <w:lang w:val="en-AU" w:eastAsia="en-AU"/>
                </w:rPr>
                <w:id w:val="1009100806"/>
                <w14:checkbox>
                  <w14:checked w14:val="0"/>
                  <w14:checkedState w14:val="2612" w14:font="MS Gothic"/>
                  <w14:uncheckedState w14:val="2610" w14:font="MS Gothic"/>
                </w14:checkbox>
              </w:sdtPr>
              <w:sdtEndPr/>
              <w:sdtContent>
                <w:r w:rsidR="00DD4529">
                  <w:rPr>
                    <w:rFonts w:ascii="MS Gothic" w:eastAsia="MS Gothic" w:hAnsi="MS Gothic" w:cstheme="minorHAnsi" w:hint="eastAsia"/>
                    <w:lang w:val="en-AU" w:eastAsia="en-AU"/>
                  </w:rPr>
                  <w:t>☐</w:t>
                </w:r>
              </w:sdtContent>
            </w:sdt>
            <w:r w:rsidR="00DD4529">
              <w:rPr>
                <w:rFonts w:eastAsia="Times New Roman" w:cstheme="minorHAnsi"/>
                <w:lang w:val="en-AU" w:eastAsia="en-AU"/>
              </w:rPr>
              <w:t xml:space="preserve">  </w:t>
            </w:r>
            <w:r w:rsidR="00DD4529" w:rsidRPr="002B07D2">
              <w:rPr>
                <w:rFonts w:eastAsia="Times New Roman" w:cstheme="minorHAnsi"/>
                <w:lang w:val="en-AU" w:eastAsia="en-AU"/>
              </w:rPr>
              <w:t>POSTER</w:t>
            </w:r>
          </w:p>
        </w:tc>
        <w:tc>
          <w:tcPr>
            <w:tcW w:w="3018" w:type="dxa"/>
          </w:tcPr>
          <w:p w14:paraId="220CDCFC" w14:textId="4C030551" w:rsidR="00DD4529" w:rsidRDefault="000F0F3B" w:rsidP="00BE6A38">
            <w:pPr>
              <w:jc w:val="right"/>
              <w:rPr>
                <w:rFonts w:eastAsia="Times New Roman" w:cstheme="minorHAnsi"/>
                <w:lang w:val="en-AU" w:eastAsia="en-AU"/>
              </w:rPr>
            </w:pPr>
            <w:sdt>
              <w:sdtPr>
                <w:rPr>
                  <w:rFonts w:eastAsia="Times New Roman" w:cstheme="minorHAnsi"/>
                  <w:lang w:val="en-AU" w:eastAsia="en-AU"/>
                </w:rPr>
                <w:id w:val="441584660"/>
                <w14:checkbox>
                  <w14:checked w14:val="1"/>
                  <w14:checkedState w14:val="2612" w14:font="MS Gothic"/>
                  <w14:uncheckedState w14:val="2610" w14:font="MS Gothic"/>
                </w14:checkbox>
              </w:sdtPr>
              <w:sdtEndPr/>
              <w:sdtContent>
                <w:r>
                  <w:rPr>
                    <w:rFonts w:ascii="MS Gothic" w:eastAsia="MS Gothic" w:hAnsi="MS Gothic" w:cstheme="minorHAnsi" w:hint="eastAsia"/>
                    <w:lang w:val="en-AU" w:eastAsia="en-AU"/>
                  </w:rPr>
                  <w:t>☒</w:t>
                </w:r>
              </w:sdtContent>
            </w:sdt>
            <w:r w:rsidR="00DD4529">
              <w:rPr>
                <w:rFonts w:eastAsia="Times New Roman" w:cstheme="minorHAnsi"/>
                <w:lang w:val="en-AU" w:eastAsia="en-AU"/>
              </w:rPr>
              <w:t xml:space="preserve">  </w:t>
            </w:r>
            <w:r w:rsidR="00DD4529" w:rsidRPr="002B07D2">
              <w:rPr>
                <w:rFonts w:eastAsia="Times New Roman" w:cstheme="minorHAnsi"/>
                <w:lang w:val="en-AU" w:eastAsia="en-AU"/>
              </w:rPr>
              <w:t>NO PREFERENCE</w:t>
            </w:r>
          </w:p>
        </w:tc>
      </w:tr>
    </w:tbl>
    <w:p w14:paraId="5A521AAD" w14:textId="25C8BF7B" w:rsidR="00DD4529" w:rsidRDefault="00DD4529" w:rsidP="00DD4529">
      <w:pPr>
        <w:rPr>
          <w:rFonts w:eastAsia="Times New Roman" w:cstheme="minorHAnsi"/>
          <w:lang w:val="en-AU" w:eastAsia="en-AU"/>
        </w:rPr>
      </w:pPr>
    </w:p>
    <w:p w14:paraId="2166A707" w14:textId="77777777" w:rsidR="00CA5D13" w:rsidRDefault="00CA5D13" w:rsidP="00DD4529">
      <w:pPr>
        <w:rPr>
          <w:rFonts w:eastAsia="Times New Roman" w:cstheme="minorHAnsi"/>
          <w:lang w:val="en-AU" w:eastAsia="en-AU"/>
        </w:rPr>
      </w:pPr>
    </w:p>
    <w:p w14:paraId="102E35B2" w14:textId="07B70679" w:rsidR="008F4BF3" w:rsidRPr="00FA19CB" w:rsidRDefault="008F4BF3" w:rsidP="008F4BF3">
      <w:pPr>
        <w:jc w:val="both"/>
        <w:rPr>
          <w:rFonts w:cstheme="minorHAnsi"/>
          <w:b/>
          <w:lang w:val="en-AU"/>
        </w:rPr>
      </w:pPr>
      <w:r w:rsidRPr="00FA19CB">
        <w:rPr>
          <w:rFonts w:cstheme="minorHAnsi"/>
          <w:b/>
          <w:lang w:val="en-AU"/>
        </w:rPr>
        <w:t>Predicting Specialist Tactical Response Police Unit Selection Success Using the Urban Rush, 2.4 km and 10km Load Carriage Events</w:t>
      </w:r>
    </w:p>
    <w:p w14:paraId="61E437F8" w14:textId="77777777" w:rsidR="008F4BF3" w:rsidRPr="00FA19CB" w:rsidRDefault="008F4BF3" w:rsidP="00465F5D">
      <w:pPr>
        <w:pStyle w:val="MDPI13authornames"/>
        <w:rPr>
          <w:rFonts w:asciiTheme="minorHAnsi" w:hAnsiTheme="minorHAnsi" w:cstheme="minorHAnsi"/>
          <w:b w:val="0"/>
          <w:sz w:val="24"/>
          <w:szCs w:val="24"/>
        </w:rPr>
      </w:pPr>
    </w:p>
    <w:p w14:paraId="30C6DB19" w14:textId="437B07BA" w:rsidR="00465F5D" w:rsidRPr="00FA19CB" w:rsidRDefault="00465F5D" w:rsidP="00CA5D13">
      <w:pPr>
        <w:pStyle w:val="MDPI13authornames"/>
        <w:spacing w:after="0"/>
        <w:rPr>
          <w:rFonts w:asciiTheme="minorHAnsi" w:hAnsiTheme="minorHAnsi" w:cstheme="minorHAnsi"/>
          <w:b w:val="0"/>
          <w:sz w:val="24"/>
          <w:szCs w:val="24"/>
          <w:vertAlign w:val="superscript"/>
        </w:rPr>
      </w:pPr>
      <w:r w:rsidRPr="00FA19CB">
        <w:rPr>
          <w:rFonts w:asciiTheme="minorHAnsi" w:hAnsiTheme="minorHAnsi" w:cstheme="minorHAnsi"/>
          <w:b w:val="0"/>
          <w:sz w:val="24"/>
          <w:szCs w:val="24"/>
        </w:rPr>
        <w:t>Rhiannon Thomas</w:t>
      </w:r>
      <w:r w:rsidRPr="00FA19CB">
        <w:rPr>
          <w:rFonts w:asciiTheme="minorHAnsi" w:hAnsiTheme="minorHAnsi" w:cstheme="minorHAnsi"/>
          <w:b w:val="0"/>
          <w:sz w:val="24"/>
          <w:szCs w:val="24"/>
          <w:vertAlign w:val="superscript"/>
        </w:rPr>
        <w:t>1</w:t>
      </w:r>
      <w:r w:rsidRPr="00FA19CB">
        <w:rPr>
          <w:rFonts w:asciiTheme="minorHAnsi" w:hAnsiTheme="minorHAnsi" w:cstheme="minorHAnsi"/>
          <w:b w:val="0"/>
          <w:sz w:val="24"/>
          <w:szCs w:val="24"/>
        </w:rPr>
        <w:t>, Ben Schram</w:t>
      </w:r>
      <w:r w:rsidRPr="00FA19CB">
        <w:rPr>
          <w:rFonts w:asciiTheme="minorHAnsi" w:hAnsiTheme="minorHAnsi" w:cstheme="minorHAnsi"/>
          <w:b w:val="0"/>
          <w:sz w:val="24"/>
          <w:szCs w:val="24"/>
          <w:vertAlign w:val="superscript"/>
        </w:rPr>
        <w:t>1,2</w:t>
      </w:r>
      <w:r w:rsidRPr="00FA19CB">
        <w:rPr>
          <w:rFonts w:asciiTheme="minorHAnsi" w:hAnsiTheme="minorHAnsi" w:cstheme="minorHAnsi"/>
          <w:b w:val="0"/>
          <w:sz w:val="24"/>
          <w:szCs w:val="24"/>
        </w:rPr>
        <w:t>, Shane Irving</w:t>
      </w:r>
      <w:r w:rsidRPr="00FA19CB">
        <w:rPr>
          <w:rFonts w:asciiTheme="minorHAnsi" w:hAnsiTheme="minorHAnsi" w:cstheme="minorHAnsi"/>
          <w:b w:val="0"/>
          <w:sz w:val="24"/>
          <w:szCs w:val="24"/>
          <w:vertAlign w:val="superscript"/>
        </w:rPr>
        <w:t>2</w:t>
      </w:r>
      <w:r w:rsidR="00F91306" w:rsidRPr="00FA19CB">
        <w:rPr>
          <w:rFonts w:asciiTheme="minorHAnsi" w:hAnsiTheme="minorHAnsi" w:cstheme="minorHAnsi"/>
          <w:b w:val="0"/>
          <w:sz w:val="24"/>
          <w:szCs w:val="24"/>
        </w:rPr>
        <w:t>,</w:t>
      </w:r>
      <w:r w:rsidRPr="00FA19CB">
        <w:rPr>
          <w:rFonts w:asciiTheme="minorHAnsi" w:hAnsiTheme="minorHAnsi" w:cstheme="minorHAnsi"/>
          <w:b w:val="0"/>
          <w:sz w:val="24"/>
          <w:szCs w:val="24"/>
        </w:rPr>
        <w:t xml:space="preserve"> Jeremy Robinson</w:t>
      </w:r>
      <w:r w:rsidRPr="00FA19CB">
        <w:rPr>
          <w:rFonts w:asciiTheme="minorHAnsi" w:hAnsiTheme="minorHAnsi" w:cstheme="minorHAnsi"/>
          <w:b w:val="0"/>
          <w:sz w:val="24"/>
          <w:szCs w:val="24"/>
          <w:vertAlign w:val="superscript"/>
        </w:rPr>
        <w:t>3</w:t>
      </w:r>
      <w:r w:rsidR="00F91306" w:rsidRPr="00FA19CB">
        <w:rPr>
          <w:rFonts w:asciiTheme="minorHAnsi" w:hAnsiTheme="minorHAnsi" w:cstheme="minorHAnsi"/>
          <w:b w:val="0"/>
          <w:sz w:val="24"/>
          <w:szCs w:val="24"/>
        </w:rPr>
        <w:t xml:space="preserve"> &amp;</w:t>
      </w:r>
      <w:r w:rsidRPr="00FA19CB">
        <w:rPr>
          <w:rFonts w:asciiTheme="minorHAnsi" w:hAnsiTheme="minorHAnsi" w:cstheme="minorHAnsi"/>
          <w:b w:val="0"/>
          <w:sz w:val="24"/>
          <w:szCs w:val="24"/>
        </w:rPr>
        <w:t xml:space="preserve"> </w:t>
      </w:r>
      <w:r w:rsidR="00F91306" w:rsidRPr="00FA19CB">
        <w:rPr>
          <w:rFonts w:asciiTheme="minorHAnsi" w:hAnsiTheme="minorHAnsi" w:cstheme="minorHAnsi"/>
          <w:b w:val="0"/>
          <w:sz w:val="24"/>
          <w:szCs w:val="24"/>
        </w:rPr>
        <w:t>Robin Orr</w:t>
      </w:r>
      <w:r w:rsidR="00F91306" w:rsidRPr="00FA19CB">
        <w:rPr>
          <w:rFonts w:asciiTheme="minorHAnsi" w:hAnsiTheme="minorHAnsi" w:cstheme="minorHAnsi"/>
          <w:b w:val="0"/>
          <w:sz w:val="24"/>
          <w:szCs w:val="24"/>
          <w:vertAlign w:val="superscript"/>
        </w:rPr>
        <w:t>1,2</w:t>
      </w:r>
    </w:p>
    <w:p w14:paraId="60262567" w14:textId="77777777" w:rsidR="0088530D" w:rsidRPr="00FA19CB" w:rsidRDefault="0088530D" w:rsidP="0088530D">
      <w:pPr>
        <w:rPr>
          <w:rFonts w:cstheme="minorHAnsi"/>
          <w:lang w:val="en-US" w:eastAsia="de-DE" w:bidi="en-US"/>
        </w:rPr>
      </w:pPr>
    </w:p>
    <w:p w14:paraId="0E511A84" w14:textId="71D48A36" w:rsidR="00245882" w:rsidRPr="00FA19CB" w:rsidRDefault="00245882" w:rsidP="00245882">
      <w:pPr>
        <w:jc w:val="both"/>
        <w:rPr>
          <w:rFonts w:cstheme="minorHAnsi"/>
        </w:rPr>
      </w:pPr>
      <w:r w:rsidRPr="00FA19CB">
        <w:rPr>
          <w:rFonts w:cstheme="minorHAnsi"/>
          <w:i/>
          <w:color w:val="000000"/>
          <w:vertAlign w:val="superscript"/>
        </w:rPr>
        <w:t>1</w:t>
      </w:r>
      <w:r w:rsidRPr="00FA19CB">
        <w:rPr>
          <w:rFonts w:cstheme="minorHAnsi"/>
          <w:i/>
          <w:color w:val="000000"/>
        </w:rPr>
        <w:t xml:space="preserve">Faculty of Health Sciences &amp; Medicine, Bond University, QLD, Australia: </w:t>
      </w:r>
      <w:r w:rsidRPr="00FA19CB">
        <w:rPr>
          <w:rFonts w:cstheme="minorHAnsi"/>
          <w:i/>
          <w:color w:val="000000"/>
          <w:vertAlign w:val="superscript"/>
        </w:rPr>
        <w:t>2</w:t>
      </w:r>
      <w:r w:rsidRPr="00FA19CB">
        <w:rPr>
          <w:rFonts w:cstheme="minorHAnsi"/>
          <w:i/>
          <w:color w:val="000000"/>
        </w:rPr>
        <w:t xml:space="preserve">Tactical Research Unit, Bond University, QLD, Australia: </w:t>
      </w:r>
      <w:r w:rsidRPr="00FA19CB">
        <w:rPr>
          <w:rFonts w:cstheme="minorHAnsi"/>
          <w:i/>
          <w:vertAlign w:val="superscript"/>
        </w:rPr>
        <w:t>3</w:t>
      </w:r>
      <w:r w:rsidRPr="00FA19CB">
        <w:rPr>
          <w:rFonts w:cstheme="minorHAnsi"/>
          <w:i/>
        </w:rPr>
        <w:t>Australian Federal Police, Canberra, ACT, Australia</w:t>
      </w:r>
    </w:p>
    <w:p w14:paraId="4F94816C" w14:textId="7EB5F740" w:rsidR="00A77FB2" w:rsidRPr="00FA19CB" w:rsidRDefault="00A77FB2" w:rsidP="00DF7F73">
      <w:pPr>
        <w:jc w:val="both"/>
        <w:rPr>
          <w:rFonts w:cstheme="minorHAnsi"/>
          <w:lang w:val="en-AU"/>
        </w:rPr>
      </w:pPr>
    </w:p>
    <w:p w14:paraId="3D59A26F" w14:textId="29FFF36C" w:rsidR="00465F5D" w:rsidRPr="00FA19CB" w:rsidRDefault="00245882" w:rsidP="00245882">
      <w:pPr>
        <w:jc w:val="both"/>
        <w:rPr>
          <w:rFonts w:cstheme="minorHAnsi"/>
        </w:rPr>
      </w:pPr>
      <w:r w:rsidRPr="00FA19CB">
        <w:rPr>
          <w:rFonts w:cstheme="minorHAnsi"/>
          <w:b/>
        </w:rPr>
        <w:t xml:space="preserve">PURPOSE: </w:t>
      </w:r>
      <w:r w:rsidR="00465F5D" w:rsidRPr="00FA19CB">
        <w:rPr>
          <w:rFonts w:cstheme="minorHAnsi"/>
        </w:rPr>
        <w:t xml:space="preserve">The aim of this study was to determine whether performance on a loaded explosive occupational task (Urban Rush), or distance-based load carriage tasks (2.4 km or 10 km) were indicative of officer success on a specialist selection course (SSC). </w:t>
      </w:r>
      <w:r w:rsidR="00465F5D" w:rsidRPr="00FA19CB">
        <w:rPr>
          <w:rFonts w:cstheme="minorHAnsi"/>
          <w:b/>
        </w:rPr>
        <w:t>METHODS:</w:t>
      </w:r>
      <w:r w:rsidR="00AB522F" w:rsidRPr="00FA19CB">
        <w:rPr>
          <w:rFonts w:cstheme="minorHAnsi"/>
          <w:b/>
        </w:rPr>
        <w:t xml:space="preserve"> </w:t>
      </w:r>
      <w:r w:rsidR="00465F5D" w:rsidRPr="00FA19CB">
        <w:rPr>
          <w:rFonts w:cstheme="minorHAnsi"/>
        </w:rPr>
        <w:t>Eighteen male police officers (mean age = 32.1</w:t>
      </w:r>
      <w:r w:rsidR="001E16F7">
        <w:rPr>
          <w:rFonts w:cstheme="minorHAnsi"/>
        </w:rPr>
        <w:t xml:space="preserve">0 </w:t>
      </w:r>
      <w:r w:rsidR="00465F5D" w:rsidRPr="00FA19CB">
        <w:rPr>
          <w:rFonts w:cstheme="minorHAnsi"/>
        </w:rPr>
        <w:sym w:font="Symbol" w:char="F0B1"/>
      </w:r>
      <w:r w:rsidR="00465F5D" w:rsidRPr="00FA19CB">
        <w:rPr>
          <w:rFonts w:cstheme="minorHAnsi"/>
        </w:rPr>
        <w:t>5.04 yrs; mean height = 183.72</w:t>
      </w:r>
      <w:r w:rsidR="00465F5D" w:rsidRPr="00FA19CB">
        <w:rPr>
          <w:rFonts w:cstheme="minorHAnsi"/>
        </w:rPr>
        <w:sym w:font="Symbol" w:char="F0B1"/>
      </w:r>
      <w:r w:rsidR="00465F5D" w:rsidRPr="00FA19CB">
        <w:rPr>
          <w:rFonts w:cstheme="minorHAnsi"/>
        </w:rPr>
        <w:t>5.79 cm; mean weight = 89.44</w:t>
      </w:r>
      <w:r w:rsidR="00465F5D" w:rsidRPr="00FA19CB">
        <w:rPr>
          <w:rFonts w:cstheme="minorHAnsi"/>
        </w:rPr>
        <w:sym w:font="Symbol" w:char="F0B1"/>
      </w:r>
      <w:r w:rsidR="00465F5D" w:rsidRPr="00FA19CB">
        <w:rPr>
          <w:rFonts w:cstheme="minorHAnsi"/>
        </w:rPr>
        <w:t>8.56 kg; mean Body Mass Index (BMI) = 26.45</w:t>
      </w:r>
      <w:r w:rsidR="00465F5D" w:rsidRPr="00FA19CB">
        <w:rPr>
          <w:rFonts w:cstheme="minorHAnsi"/>
        </w:rPr>
        <w:sym w:font="Symbol" w:char="F0B1"/>
      </w:r>
      <w:r w:rsidR="00465F5D" w:rsidRPr="00FA19CB">
        <w:rPr>
          <w:rFonts w:cstheme="minorHAnsi"/>
        </w:rPr>
        <w:t>1.58 kg/m</w:t>
      </w:r>
      <w:r w:rsidR="00465F5D" w:rsidRPr="00FA19CB">
        <w:rPr>
          <w:rFonts w:cstheme="minorHAnsi"/>
          <w:vertAlign w:val="superscript"/>
        </w:rPr>
        <w:t>2</w:t>
      </w:r>
      <w:r w:rsidR="00465F5D" w:rsidRPr="00FA19CB">
        <w:rPr>
          <w:rFonts w:cstheme="minorHAnsi"/>
        </w:rPr>
        <w:t>) participated in the SSC over 5 consecutive days. Data were categorised into: Group 1 (successful specialist selection applicants) and Group 2 (unsuccessful applicants). Independent sample t-</w:t>
      </w:r>
      <w:r w:rsidR="003E0D85" w:rsidRPr="00FA19CB">
        <w:rPr>
          <w:rFonts w:cstheme="minorHAnsi"/>
        </w:rPr>
        <w:t>tests</w:t>
      </w:r>
      <w:r w:rsidR="003E0D85">
        <w:rPr>
          <w:rFonts w:cstheme="minorHAnsi"/>
        </w:rPr>
        <w:t xml:space="preserve"> and</w:t>
      </w:r>
      <w:r w:rsidR="00465F5D" w:rsidRPr="00FA19CB">
        <w:rPr>
          <w:rFonts w:cstheme="minorHAnsi"/>
        </w:rPr>
        <w:t xml:space="preserve"> a linear regression determined the differences and relationship between anthropometric and event performance data with alpha levels set at p</w:t>
      </w:r>
      <w:r w:rsidR="00C52C3D">
        <w:rPr>
          <w:rFonts w:cstheme="minorHAnsi"/>
        </w:rPr>
        <w:t>&lt;</w:t>
      </w:r>
      <w:r w:rsidR="00C52C3D" w:rsidRPr="00FA19CB">
        <w:rPr>
          <w:rFonts w:cstheme="minorHAnsi"/>
        </w:rPr>
        <w:t>.</w:t>
      </w:r>
      <w:r w:rsidR="00465F5D" w:rsidRPr="00FA19CB">
        <w:rPr>
          <w:rFonts w:cstheme="minorHAnsi"/>
        </w:rPr>
        <w:t xml:space="preserve">05 a priori. </w:t>
      </w:r>
      <w:r w:rsidR="00465F5D" w:rsidRPr="00FA19CB">
        <w:rPr>
          <w:rFonts w:cstheme="minorHAnsi"/>
          <w:b/>
        </w:rPr>
        <w:t xml:space="preserve">RESULTS: </w:t>
      </w:r>
      <w:r w:rsidR="00465F5D" w:rsidRPr="00FA19CB">
        <w:rPr>
          <w:rFonts w:cstheme="minorHAnsi"/>
        </w:rPr>
        <w:t>Height (p=0.025), body weight (p=0.007) and 2.4</w:t>
      </w:r>
      <w:r w:rsidR="003F1B15" w:rsidRPr="00FA19CB">
        <w:rPr>
          <w:rFonts w:cstheme="minorHAnsi"/>
        </w:rPr>
        <w:t xml:space="preserve"> </w:t>
      </w:r>
      <w:r w:rsidR="00465F5D" w:rsidRPr="00FA19CB">
        <w:rPr>
          <w:rFonts w:cstheme="minorHAnsi"/>
        </w:rPr>
        <w:t>km loaded march event performance (p=0.013) were significantly different between groups</w:t>
      </w:r>
      <w:r w:rsidR="00601315" w:rsidRPr="00FA19CB">
        <w:rPr>
          <w:rFonts w:cstheme="minorHAnsi"/>
        </w:rPr>
        <w:t xml:space="preserve"> (Table 1)</w:t>
      </w:r>
      <w:r w:rsidR="00465F5D" w:rsidRPr="00FA19CB">
        <w:rPr>
          <w:rFonts w:cstheme="minorHAnsi"/>
        </w:rPr>
        <w:t>. All three performance measures were significant predictors of success accounting for 44% of the variance in outcomes, however, the 2.4km loaded march was the strongest (r</w:t>
      </w:r>
      <w:r w:rsidR="00465F5D" w:rsidRPr="003E0D85">
        <w:rPr>
          <w:rFonts w:cstheme="minorHAnsi"/>
          <w:vertAlign w:val="superscript"/>
        </w:rPr>
        <w:t>2</w:t>
      </w:r>
      <w:r w:rsidR="00465F5D" w:rsidRPr="00FA19CB">
        <w:rPr>
          <w:rFonts w:cstheme="minorHAnsi"/>
        </w:rPr>
        <w:t xml:space="preserve">= 0.33) and </w:t>
      </w:r>
      <w:r w:rsidR="00D46AF1">
        <w:rPr>
          <w:rFonts w:cstheme="minorHAnsi"/>
        </w:rPr>
        <w:t xml:space="preserve">the </w:t>
      </w:r>
      <w:r w:rsidR="00465F5D" w:rsidRPr="00FA19CB">
        <w:rPr>
          <w:rFonts w:cstheme="minorHAnsi"/>
        </w:rPr>
        <w:t>only significant independent (adjusted r</w:t>
      </w:r>
      <w:r w:rsidR="00465F5D" w:rsidRPr="00FA19CB">
        <w:rPr>
          <w:rFonts w:cstheme="minorHAnsi"/>
          <w:vertAlign w:val="superscript"/>
        </w:rPr>
        <w:t>2</w:t>
      </w:r>
      <w:r w:rsidR="00465F5D" w:rsidRPr="00FA19CB">
        <w:rPr>
          <w:rFonts w:cstheme="minorHAnsi"/>
        </w:rPr>
        <w:t xml:space="preserve">=0.29) predictor of success. </w:t>
      </w:r>
      <w:r w:rsidR="00465F5D" w:rsidRPr="00FA19CB">
        <w:rPr>
          <w:rFonts w:cstheme="minorHAnsi"/>
          <w:b/>
        </w:rPr>
        <w:t xml:space="preserve">RELEVANCE: </w:t>
      </w:r>
      <w:r w:rsidR="00465F5D" w:rsidRPr="00FA19CB">
        <w:rPr>
          <w:rFonts w:cstheme="minorHAnsi"/>
        </w:rPr>
        <w:t>While a loaded 2.4 km event is associated with success, a ceiling effect for an explosive anaerobic task and longer 10</w:t>
      </w:r>
      <w:r w:rsidR="00775F09" w:rsidRPr="00FA19CB">
        <w:rPr>
          <w:rFonts w:cstheme="minorHAnsi"/>
        </w:rPr>
        <w:t xml:space="preserve"> km</w:t>
      </w:r>
      <w:r w:rsidR="00465F5D" w:rsidRPr="00FA19CB">
        <w:rPr>
          <w:rFonts w:cstheme="minorHAnsi"/>
        </w:rPr>
        <w:t xml:space="preserve"> task may exist whereby increases in performance are not associated with selection success. </w:t>
      </w:r>
      <w:r w:rsidR="00AB522F" w:rsidRPr="00FA19CB">
        <w:rPr>
          <w:rFonts w:cstheme="minorHAnsi"/>
        </w:rPr>
        <w:t>Police officers preparing for selection and therapists responsible for returning injured specialist police for duty need to ensure that loaded 2.4 km events are included in candidate’s and officer’s work hardening practices.</w:t>
      </w:r>
    </w:p>
    <w:p w14:paraId="0C1CD012" w14:textId="37A382B4" w:rsidR="00465F5D" w:rsidRPr="00FA19CB" w:rsidRDefault="00465F5D" w:rsidP="00AB522F">
      <w:pPr>
        <w:jc w:val="both"/>
        <w:rPr>
          <w:rFonts w:cstheme="minorHAnsi"/>
        </w:rPr>
      </w:pPr>
    </w:p>
    <w:p w14:paraId="425AAEB9" w14:textId="32572CC7" w:rsidR="00AB522F" w:rsidRPr="00FA19CB" w:rsidRDefault="00AB522F" w:rsidP="00AB522F">
      <w:pPr>
        <w:rPr>
          <w:rFonts w:cstheme="minorHAnsi"/>
        </w:rPr>
      </w:pPr>
      <w:r w:rsidRPr="00FA19CB">
        <w:rPr>
          <w:rFonts w:cstheme="minorHAnsi"/>
          <w:b/>
        </w:rPr>
        <w:t>Table 1:</w:t>
      </w:r>
      <w:r w:rsidRPr="00FA19CB">
        <w:rPr>
          <w:rFonts w:cstheme="minorHAnsi"/>
        </w:rPr>
        <w:t xml:space="preserve"> Descriptive Statistics for Successful and Unsuccessful Applicants.</w:t>
      </w:r>
    </w:p>
    <w:tbl>
      <w:tblPr>
        <w:tblStyle w:val="TableGrid"/>
        <w:tblW w:w="5238" w:type="pct"/>
        <w:tblBorders>
          <w:left w:val="none" w:sz="0" w:space="0" w:color="auto"/>
          <w:right w:val="none" w:sz="0" w:space="0" w:color="auto"/>
        </w:tblBorders>
        <w:tblLook w:val="04A0" w:firstRow="1" w:lastRow="0" w:firstColumn="1" w:lastColumn="0" w:noHBand="0" w:noVBand="1"/>
      </w:tblPr>
      <w:tblGrid>
        <w:gridCol w:w="3276"/>
        <w:gridCol w:w="3113"/>
        <w:gridCol w:w="3060"/>
      </w:tblGrid>
      <w:tr w:rsidR="00AB522F" w:rsidRPr="00FA19CB" w14:paraId="0B6BB857" w14:textId="77777777" w:rsidTr="003E0D85">
        <w:trPr>
          <w:trHeight w:val="512"/>
        </w:trPr>
        <w:tc>
          <w:tcPr>
            <w:tcW w:w="1734" w:type="pct"/>
            <w:tcBorders>
              <w:bottom w:val="single" w:sz="4" w:space="0" w:color="auto"/>
              <w:right w:val="nil"/>
            </w:tcBorders>
            <w:shd w:val="clear" w:color="auto" w:fill="auto"/>
            <w:vAlign w:val="center"/>
          </w:tcPr>
          <w:p w14:paraId="0308490C" w14:textId="77777777" w:rsidR="00AB522F" w:rsidRPr="00FA19CB" w:rsidRDefault="00AB522F" w:rsidP="00AB522F">
            <w:pPr>
              <w:rPr>
                <w:rFonts w:cstheme="minorHAnsi"/>
                <w:b/>
              </w:rPr>
            </w:pPr>
            <w:r w:rsidRPr="00FA19CB">
              <w:rPr>
                <w:rFonts w:cstheme="minorHAnsi"/>
                <w:b/>
              </w:rPr>
              <w:t>Anthropometric Data/</w:t>
            </w:r>
          </w:p>
          <w:p w14:paraId="6FE70907" w14:textId="77777777" w:rsidR="00AB522F" w:rsidRPr="00FA19CB" w:rsidRDefault="00AB522F" w:rsidP="00AB522F">
            <w:pPr>
              <w:rPr>
                <w:rFonts w:cstheme="minorHAnsi"/>
                <w:b/>
              </w:rPr>
            </w:pPr>
            <w:r w:rsidRPr="00FA19CB">
              <w:rPr>
                <w:rFonts w:cstheme="minorHAnsi"/>
                <w:b/>
              </w:rPr>
              <w:t>Performance Measure</w:t>
            </w:r>
          </w:p>
        </w:tc>
        <w:tc>
          <w:tcPr>
            <w:tcW w:w="1647" w:type="pct"/>
            <w:tcBorders>
              <w:left w:val="nil"/>
              <w:bottom w:val="single" w:sz="4" w:space="0" w:color="auto"/>
              <w:right w:val="nil"/>
            </w:tcBorders>
            <w:shd w:val="clear" w:color="auto" w:fill="auto"/>
            <w:vAlign w:val="center"/>
          </w:tcPr>
          <w:p w14:paraId="0D52502D" w14:textId="77777777" w:rsidR="00AB522F" w:rsidRPr="00FA19CB" w:rsidRDefault="00AB522F" w:rsidP="00AB522F">
            <w:pPr>
              <w:rPr>
                <w:rFonts w:cstheme="minorHAnsi"/>
                <w:b/>
              </w:rPr>
            </w:pPr>
            <w:r w:rsidRPr="00FA19CB">
              <w:rPr>
                <w:rFonts w:cstheme="minorHAnsi"/>
                <w:b/>
              </w:rPr>
              <w:t>Successful Applicants</w:t>
            </w:r>
          </w:p>
          <w:p w14:paraId="29DA97DB" w14:textId="77777777" w:rsidR="00AB522F" w:rsidRPr="00FA19CB" w:rsidRDefault="00AB522F" w:rsidP="00AB522F">
            <w:pPr>
              <w:rPr>
                <w:rFonts w:cstheme="minorHAnsi"/>
                <w:b/>
              </w:rPr>
            </w:pPr>
            <w:r w:rsidRPr="00FA19CB">
              <w:rPr>
                <w:rFonts w:cstheme="minorHAnsi"/>
                <w:b/>
              </w:rPr>
              <w:t xml:space="preserve">Mean </w:t>
            </w:r>
            <w:r w:rsidRPr="00FA19CB">
              <w:rPr>
                <w:rFonts w:cstheme="minorHAnsi"/>
                <w:b/>
              </w:rPr>
              <w:sym w:font="Symbol" w:char="F0B1"/>
            </w:r>
            <w:r w:rsidRPr="00FA19CB">
              <w:rPr>
                <w:rFonts w:cstheme="minorHAnsi"/>
                <w:b/>
              </w:rPr>
              <w:t xml:space="preserve"> Standard Deviation</w:t>
            </w:r>
          </w:p>
        </w:tc>
        <w:tc>
          <w:tcPr>
            <w:tcW w:w="1619" w:type="pct"/>
            <w:tcBorders>
              <w:left w:val="nil"/>
              <w:bottom w:val="single" w:sz="4" w:space="0" w:color="auto"/>
            </w:tcBorders>
            <w:shd w:val="clear" w:color="auto" w:fill="auto"/>
            <w:vAlign w:val="center"/>
          </w:tcPr>
          <w:p w14:paraId="4200674D" w14:textId="77777777" w:rsidR="00AB522F" w:rsidRPr="00FA19CB" w:rsidRDefault="00AB522F" w:rsidP="00AB522F">
            <w:pPr>
              <w:rPr>
                <w:rFonts w:cstheme="minorHAnsi"/>
                <w:b/>
              </w:rPr>
            </w:pPr>
            <w:r w:rsidRPr="00FA19CB">
              <w:rPr>
                <w:rFonts w:cstheme="minorHAnsi"/>
                <w:b/>
              </w:rPr>
              <w:t>Unsuccessful Applicants</w:t>
            </w:r>
          </w:p>
          <w:p w14:paraId="2487DE66" w14:textId="77777777" w:rsidR="00AB522F" w:rsidRPr="00FA19CB" w:rsidRDefault="00AB522F" w:rsidP="00AB522F">
            <w:pPr>
              <w:rPr>
                <w:rFonts w:cstheme="minorHAnsi"/>
                <w:b/>
              </w:rPr>
            </w:pPr>
            <w:r w:rsidRPr="00FA19CB">
              <w:rPr>
                <w:rFonts w:cstheme="minorHAnsi"/>
                <w:b/>
              </w:rPr>
              <w:t xml:space="preserve">Mean </w:t>
            </w:r>
            <w:r w:rsidRPr="00FA19CB">
              <w:rPr>
                <w:rFonts w:cstheme="minorHAnsi"/>
                <w:b/>
              </w:rPr>
              <w:sym w:font="Symbol" w:char="F0B1"/>
            </w:r>
            <w:r w:rsidRPr="00FA19CB">
              <w:rPr>
                <w:rFonts w:cstheme="minorHAnsi"/>
                <w:b/>
              </w:rPr>
              <w:t xml:space="preserve"> Standard Deviation</w:t>
            </w:r>
          </w:p>
        </w:tc>
      </w:tr>
      <w:tr w:rsidR="00AB522F" w:rsidRPr="00FA19CB" w14:paraId="1F6D881C" w14:textId="77777777" w:rsidTr="003E0D85">
        <w:trPr>
          <w:cantSplit/>
          <w:trHeight w:hRule="exact" w:val="340"/>
        </w:trPr>
        <w:tc>
          <w:tcPr>
            <w:tcW w:w="1734" w:type="pct"/>
            <w:tcBorders>
              <w:top w:val="single" w:sz="4" w:space="0" w:color="auto"/>
              <w:bottom w:val="nil"/>
              <w:right w:val="nil"/>
            </w:tcBorders>
            <w:vAlign w:val="center"/>
          </w:tcPr>
          <w:p w14:paraId="3E8B8772" w14:textId="77777777" w:rsidR="00AB522F" w:rsidRPr="00FA19CB" w:rsidRDefault="00AB522F" w:rsidP="00AB522F">
            <w:pPr>
              <w:rPr>
                <w:rFonts w:cstheme="minorHAnsi"/>
              </w:rPr>
            </w:pPr>
            <w:r w:rsidRPr="00FA19CB">
              <w:rPr>
                <w:rFonts w:cstheme="minorHAnsi"/>
              </w:rPr>
              <w:t>Age (years)</w:t>
            </w:r>
            <w:r w:rsidRPr="00FA19CB">
              <w:rPr>
                <w:rFonts w:cstheme="minorHAnsi"/>
                <w:vertAlign w:val="superscript"/>
              </w:rPr>
              <w:t xml:space="preserve"> </w:t>
            </w:r>
          </w:p>
        </w:tc>
        <w:tc>
          <w:tcPr>
            <w:tcW w:w="1647" w:type="pct"/>
            <w:tcBorders>
              <w:top w:val="single" w:sz="4" w:space="0" w:color="auto"/>
              <w:left w:val="nil"/>
              <w:bottom w:val="nil"/>
              <w:right w:val="nil"/>
            </w:tcBorders>
            <w:vAlign w:val="center"/>
          </w:tcPr>
          <w:p w14:paraId="09D7EFD7" w14:textId="77777777" w:rsidR="00AB522F" w:rsidRPr="00FA19CB" w:rsidRDefault="00AB522F" w:rsidP="00AB522F">
            <w:pPr>
              <w:rPr>
                <w:rFonts w:cstheme="minorHAnsi"/>
              </w:rPr>
            </w:pPr>
            <w:r w:rsidRPr="00FA19CB">
              <w:rPr>
                <w:rFonts w:cstheme="minorHAnsi"/>
              </w:rPr>
              <w:t xml:space="preserve">30.64 </w:t>
            </w:r>
            <w:r w:rsidRPr="00FA19CB">
              <w:rPr>
                <w:rFonts w:cstheme="minorHAnsi"/>
              </w:rPr>
              <w:sym w:font="Symbol" w:char="F0B1"/>
            </w:r>
            <w:r w:rsidRPr="00FA19CB">
              <w:rPr>
                <w:rFonts w:cstheme="minorHAnsi"/>
              </w:rPr>
              <w:t xml:space="preserve"> 4.97</w:t>
            </w:r>
          </w:p>
        </w:tc>
        <w:tc>
          <w:tcPr>
            <w:tcW w:w="1619" w:type="pct"/>
            <w:tcBorders>
              <w:top w:val="single" w:sz="4" w:space="0" w:color="auto"/>
              <w:left w:val="nil"/>
              <w:bottom w:val="nil"/>
            </w:tcBorders>
            <w:vAlign w:val="center"/>
          </w:tcPr>
          <w:p w14:paraId="3C18D343" w14:textId="77777777" w:rsidR="00AB522F" w:rsidRPr="00FA19CB" w:rsidRDefault="00AB522F" w:rsidP="00AB522F">
            <w:pPr>
              <w:rPr>
                <w:rFonts w:cstheme="minorHAnsi"/>
              </w:rPr>
            </w:pPr>
            <w:r w:rsidRPr="00FA19CB">
              <w:rPr>
                <w:rFonts w:cstheme="minorHAnsi"/>
              </w:rPr>
              <w:t xml:space="preserve">34.43 </w:t>
            </w:r>
            <w:r w:rsidRPr="00FA19CB">
              <w:rPr>
                <w:rFonts w:cstheme="minorHAnsi"/>
              </w:rPr>
              <w:sym w:font="Symbol" w:char="F0B1"/>
            </w:r>
            <w:r w:rsidRPr="00FA19CB">
              <w:rPr>
                <w:rFonts w:cstheme="minorHAnsi"/>
              </w:rPr>
              <w:t xml:space="preserve"> 4.54</w:t>
            </w:r>
          </w:p>
        </w:tc>
      </w:tr>
      <w:tr w:rsidR="00AB522F" w:rsidRPr="00FA19CB" w14:paraId="18BFF334" w14:textId="77777777" w:rsidTr="003E0D85">
        <w:trPr>
          <w:cantSplit/>
          <w:trHeight w:hRule="exact" w:val="340"/>
        </w:trPr>
        <w:tc>
          <w:tcPr>
            <w:tcW w:w="1734" w:type="pct"/>
            <w:tcBorders>
              <w:top w:val="nil"/>
              <w:bottom w:val="nil"/>
              <w:right w:val="nil"/>
            </w:tcBorders>
            <w:vAlign w:val="center"/>
          </w:tcPr>
          <w:p w14:paraId="480B5AAF" w14:textId="77777777" w:rsidR="00AB522F" w:rsidRPr="00FA19CB" w:rsidRDefault="00AB522F" w:rsidP="00AB522F">
            <w:pPr>
              <w:rPr>
                <w:rFonts w:cstheme="minorHAnsi"/>
              </w:rPr>
            </w:pPr>
            <w:r w:rsidRPr="00FA19CB">
              <w:rPr>
                <w:rFonts w:cstheme="minorHAnsi"/>
              </w:rPr>
              <w:t>Height (cm)</w:t>
            </w:r>
          </w:p>
        </w:tc>
        <w:tc>
          <w:tcPr>
            <w:tcW w:w="1647" w:type="pct"/>
            <w:tcBorders>
              <w:top w:val="nil"/>
              <w:left w:val="nil"/>
              <w:bottom w:val="nil"/>
              <w:right w:val="nil"/>
            </w:tcBorders>
            <w:vAlign w:val="center"/>
          </w:tcPr>
          <w:p w14:paraId="76A2D479" w14:textId="77777777" w:rsidR="00AB522F" w:rsidRPr="00FA19CB" w:rsidRDefault="00AB522F" w:rsidP="00AB522F">
            <w:pPr>
              <w:rPr>
                <w:rFonts w:cstheme="minorHAnsi"/>
              </w:rPr>
            </w:pPr>
            <w:r w:rsidRPr="00FA19CB">
              <w:rPr>
                <w:rFonts w:cstheme="minorHAnsi"/>
              </w:rPr>
              <w:t xml:space="preserve">181.36 </w:t>
            </w:r>
            <w:r w:rsidRPr="00FA19CB">
              <w:rPr>
                <w:rFonts w:cstheme="minorHAnsi"/>
              </w:rPr>
              <w:sym w:font="Symbol" w:char="F0B1"/>
            </w:r>
            <w:r w:rsidRPr="00FA19CB">
              <w:rPr>
                <w:rFonts w:cstheme="minorHAnsi"/>
              </w:rPr>
              <w:t xml:space="preserve"> 5.35</w:t>
            </w:r>
          </w:p>
        </w:tc>
        <w:tc>
          <w:tcPr>
            <w:tcW w:w="1619" w:type="pct"/>
            <w:tcBorders>
              <w:top w:val="nil"/>
              <w:left w:val="nil"/>
              <w:bottom w:val="nil"/>
            </w:tcBorders>
            <w:vAlign w:val="center"/>
          </w:tcPr>
          <w:p w14:paraId="5FBE0B2F" w14:textId="77777777" w:rsidR="00AB522F" w:rsidRPr="00FA19CB" w:rsidRDefault="00AB522F" w:rsidP="00AB522F">
            <w:pPr>
              <w:rPr>
                <w:rFonts w:cstheme="minorHAnsi"/>
              </w:rPr>
            </w:pPr>
            <w:r w:rsidRPr="00FA19CB">
              <w:rPr>
                <w:rFonts w:cstheme="minorHAnsi"/>
              </w:rPr>
              <w:t xml:space="preserve">187.43 </w:t>
            </w:r>
            <w:r w:rsidRPr="00FA19CB">
              <w:rPr>
                <w:rFonts w:cstheme="minorHAnsi"/>
              </w:rPr>
              <w:sym w:font="Symbol" w:char="F0B1"/>
            </w:r>
            <w:r w:rsidRPr="00FA19CB">
              <w:rPr>
                <w:rFonts w:cstheme="minorHAnsi"/>
              </w:rPr>
              <w:t xml:space="preserve"> 4.58*</w:t>
            </w:r>
          </w:p>
        </w:tc>
      </w:tr>
      <w:tr w:rsidR="00AB522F" w:rsidRPr="00FA19CB" w14:paraId="341C2603" w14:textId="77777777" w:rsidTr="003E0D85">
        <w:trPr>
          <w:cantSplit/>
          <w:trHeight w:hRule="exact" w:val="340"/>
        </w:trPr>
        <w:tc>
          <w:tcPr>
            <w:tcW w:w="1734" w:type="pct"/>
            <w:tcBorders>
              <w:top w:val="nil"/>
              <w:bottom w:val="nil"/>
              <w:right w:val="nil"/>
            </w:tcBorders>
            <w:vAlign w:val="center"/>
          </w:tcPr>
          <w:p w14:paraId="16E1BF4D" w14:textId="77777777" w:rsidR="00AB522F" w:rsidRPr="00FA19CB" w:rsidRDefault="00AB522F" w:rsidP="00AB522F">
            <w:pPr>
              <w:rPr>
                <w:rFonts w:cstheme="minorHAnsi"/>
              </w:rPr>
            </w:pPr>
            <w:r w:rsidRPr="00FA19CB">
              <w:rPr>
                <w:rFonts w:cstheme="minorHAnsi"/>
              </w:rPr>
              <w:t>Body Weight (kg)</w:t>
            </w:r>
            <w:r w:rsidRPr="00FA19CB">
              <w:rPr>
                <w:rFonts w:cstheme="minorHAnsi"/>
                <w:vertAlign w:val="superscript"/>
              </w:rPr>
              <w:t xml:space="preserve"> </w:t>
            </w:r>
          </w:p>
        </w:tc>
        <w:tc>
          <w:tcPr>
            <w:tcW w:w="1647" w:type="pct"/>
            <w:tcBorders>
              <w:top w:val="nil"/>
              <w:left w:val="nil"/>
              <w:bottom w:val="nil"/>
              <w:right w:val="nil"/>
            </w:tcBorders>
            <w:vAlign w:val="center"/>
          </w:tcPr>
          <w:p w14:paraId="6D74A34B" w14:textId="77777777" w:rsidR="00AB522F" w:rsidRPr="00FA19CB" w:rsidRDefault="00AB522F" w:rsidP="00AB522F">
            <w:pPr>
              <w:rPr>
                <w:rFonts w:cstheme="minorHAnsi"/>
              </w:rPr>
            </w:pPr>
            <w:r w:rsidRPr="00FA19CB">
              <w:rPr>
                <w:rFonts w:cstheme="minorHAnsi"/>
              </w:rPr>
              <w:t xml:space="preserve">85.36 </w:t>
            </w:r>
            <w:r w:rsidRPr="00FA19CB">
              <w:rPr>
                <w:rFonts w:cstheme="minorHAnsi"/>
              </w:rPr>
              <w:sym w:font="Symbol" w:char="F0B1"/>
            </w:r>
            <w:r w:rsidRPr="00FA19CB">
              <w:rPr>
                <w:rFonts w:cstheme="minorHAnsi"/>
              </w:rPr>
              <w:t xml:space="preserve"> 6.65</w:t>
            </w:r>
          </w:p>
        </w:tc>
        <w:tc>
          <w:tcPr>
            <w:tcW w:w="1619" w:type="pct"/>
            <w:tcBorders>
              <w:top w:val="nil"/>
              <w:left w:val="nil"/>
              <w:bottom w:val="nil"/>
            </w:tcBorders>
            <w:vAlign w:val="center"/>
          </w:tcPr>
          <w:p w14:paraId="2EA96889" w14:textId="77777777" w:rsidR="00AB522F" w:rsidRPr="00FA19CB" w:rsidRDefault="00AB522F" w:rsidP="00AB522F">
            <w:pPr>
              <w:rPr>
                <w:rFonts w:cstheme="minorHAnsi"/>
              </w:rPr>
            </w:pPr>
            <w:r w:rsidRPr="00FA19CB">
              <w:rPr>
                <w:rFonts w:cstheme="minorHAnsi"/>
              </w:rPr>
              <w:t xml:space="preserve">95.86 </w:t>
            </w:r>
            <w:r w:rsidRPr="00FA19CB">
              <w:rPr>
                <w:rFonts w:cstheme="minorHAnsi"/>
              </w:rPr>
              <w:sym w:font="Symbol" w:char="F0B1"/>
            </w:r>
            <w:r w:rsidRPr="00FA19CB">
              <w:rPr>
                <w:rFonts w:cstheme="minorHAnsi"/>
              </w:rPr>
              <w:t xml:space="preserve"> 7.45**</w:t>
            </w:r>
          </w:p>
        </w:tc>
      </w:tr>
      <w:tr w:rsidR="00AB522F" w:rsidRPr="00FA19CB" w14:paraId="6367A958" w14:textId="77777777" w:rsidTr="003E0D85">
        <w:trPr>
          <w:cantSplit/>
          <w:trHeight w:hRule="exact" w:val="340"/>
        </w:trPr>
        <w:tc>
          <w:tcPr>
            <w:tcW w:w="1734" w:type="pct"/>
            <w:tcBorders>
              <w:top w:val="nil"/>
              <w:bottom w:val="nil"/>
              <w:right w:val="nil"/>
            </w:tcBorders>
            <w:vAlign w:val="center"/>
          </w:tcPr>
          <w:p w14:paraId="36EB1D8D" w14:textId="77777777" w:rsidR="00AB522F" w:rsidRPr="00FA19CB" w:rsidRDefault="00AB522F" w:rsidP="00AB522F">
            <w:pPr>
              <w:rPr>
                <w:rFonts w:cstheme="minorHAnsi"/>
              </w:rPr>
            </w:pPr>
            <w:r w:rsidRPr="00FA19CB">
              <w:rPr>
                <w:rFonts w:cstheme="minorHAnsi"/>
              </w:rPr>
              <w:t>BMI (kg/m</w:t>
            </w:r>
            <w:r w:rsidRPr="00FA19CB">
              <w:rPr>
                <w:rFonts w:cstheme="minorHAnsi"/>
                <w:vertAlign w:val="superscript"/>
              </w:rPr>
              <w:t>2</w:t>
            </w:r>
            <w:r w:rsidRPr="00FA19CB">
              <w:rPr>
                <w:rFonts w:cstheme="minorHAnsi"/>
              </w:rPr>
              <w:t>)</w:t>
            </w:r>
          </w:p>
        </w:tc>
        <w:tc>
          <w:tcPr>
            <w:tcW w:w="1647" w:type="pct"/>
            <w:tcBorders>
              <w:top w:val="nil"/>
              <w:left w:val="nil"/>
              <w:bottom w:val="nil"/>
              <w:right w:val="nil"/>
            </w:tcBorders>
            <w:vAlign w:val="center"/>
          </w:tcPr>
          <w:p w14:paraId="74D9899A" w14:textId="77777777" w:rsidR="00AB522F" w:rsidRPr="00FA19CB" w:rsidRDefault="00AB522F" w:rsidP="00AB522F">
            <w:pPr>
              <w:rPr>
                <w:rFonts w:cstheme="minorHAnsi"/>
              </w:rPr>
            </w:pPr>
            <w:r w:rsidRPr="00FA19CB">
              <w:rPr>
                <w:rFonts w:cstheme="minorHAnsi"/>
              </w:rPr>
              <w:t xml:space="preserve">25.94 </w:t>
            </w:r>
            <w:r w:rsidRPr="00FA19CB">
              <w:rPr>
                <w:rFonts w:cstheme="minorHAnsi"/>
              </w:rPr>
              <w:sym w:font="Symbol" w:char="F0B1"/>
            </w:r>
            <w:r w:rsidRPr="00FA19CB">
              <w:rPr>
                <w:rFonts w:cstheme="minorHAnsi"/>
              </w:rPr>
              <w:t xml:space="preserve"> 1.49</w:t>
            </w:r>
          </w:p>
        </w:tc>
        <w:tc>
          <w:tcPr>
            <w:tcW w:w="1619" w:type="pct"/>
            <w:tcBorders>
              <w:top w:val="nil"/>
              <w:left w:val="nil"/>
              <w:bottom w:val="nil"/>
            </w:tcBorders>
            <w:vAlign w:val="center"/>
          </w:tcPr>
          <w:p w14:paraId="5880E1EA" w14:textId="77777777" w:rsidR="00AB522F" w:rsidRPr="00FA19CB" w:rsidRDefault="00AB522F" w:rsidP="00AB522F">
            <w:pPr>
              <w:rPr>
                <w:rFonts w:cstheme="minorHAnsi"/>
              </w:rPr>
            </w:pPr>
            <w:r w:rsidRPr="00FA19CB">
              <w:rPr>
                <w:rFonts w:cstheme="minorHAnsi"/>
              </w:rPr>
              <w:t xml:space="preserve">27.27 </w:t>
            </w:r>
            <w:r w:rsidRPr="00FA19CB">
              <w:rPr>
                <w:rFonts w:cstheme="minorHAnsi"/>
              </w:rPr>
              <w:sym w:font="Symbol" w:char="F0B1"/>
            </w:r>
            <w:r w:rsidRPr="00FA19CB">
              <w:rPr>
                <w:rFonts w:cstheme="minorHAnsi"/>
              </w:rPr>
              <w:t xml:space="preserve"> 1.46</w:t>
            </w:r>
          </w:p>
        </w:tc>
      </w:tr>
      <w:tr w:rsidR="00AB522F" w:rsidRPr="00FA19CB" w14:paraId="40AD793D" w14:textId="77777777" w:rsidTr="003E0D85">
        <w:trPr>
          <w:cantSplit/>
          <w:trHeight w:hRule="exact" w:val="340"/>
        </w:trPr>
        <w:tc>
          <w:tcPr>
            <w:tcW w:w="1734" w:type="pct"/>
            <w:tcBorders>
              <w:top w:val="nil"/>
              <w:bottom w:val="nil"/>
              <w:right w:val="nil"/>
            </w:tcBorders>
            <w:vAlign w:val="center"/>
          </w:tcPr>
          <w:p w14:paraId="1AD87EEC" w14:textId="77777777" w:rsidR="00AB522F" w:rsidRPr="00FA19CB" w:rsidRDefault="00AB522F" w:rsidP="00AB522F">
            <w:pPr>
              <w:rPr>
                <w:rFonts w:cstheme="minorHAnsi"/>
              </w:rPr>
            </w:pPr>
            <w:r w:rsidRPr="00FA19CB">
              <w:rPr>
                <w:rFonts w:cstheme="minorHAnsi"/>
              </w:rPr>
              <w:t>Loaded BMI (kg/m</w:t>
            </w:r>
            <w:r w:rsidRPr="00FA19CB">
              <w:rPr>
                <w:rFonts w:cstheme="minorHAnsi"/>
                <w:vertAlign w:val="superscript"/>
              </w:rPr>
              <w:t>2</w:t>
            </w:r>
            <w:r w:rsidRPr="00FA19CB">
              <w:rPr>
                <w:rFonts w:cstheme="minorHAnsi"/>
              </w:rPr>
              <w:t>)</w:t>
            </w:r>
          </w:p>
        </w:tc>
        <w:tc>
          <w:tcPr>
            <w:tcW w:w="1647" w:type="pct"/>
            <w:tcBorders>
              <w:top w:val="nil"/>
              <w:left w:val="nil"/>
              <w:bottom w:val="nil"/>
              <w:right w:val="nil"/>
            </w:tcBorders>
            <w:vAlign w:val="center"/>
          </w:tcPr>
          <w:p w14:paraId="7E89D110" w14:textId="77777777" w:rsidR="00AB522F" w:rsidRPr="00FA19CB" w:rsidRDefault="00AB522F" w:rsidP="00AB522F">
            <w:pPr>
              <w:rPr>
                <w:rFonts w:cstheme="minorHAnsi"/>
              </w:rPr>
            </w:pPr>
            <w:r w:rsidRPr="00FA19CB">
              <w:rPr>
                <w:rFonts w:cstheme="minorHAnsi"/>
              </w:rPr>
              <w:t xml:space="preserve">33.33 </w:t>
            </w:r>
            <w:r w:rsidRPr="00FA19CB">
              <w:rPr>
                <w:rFonts w:cstheme="minorHAnsi"/>
              </w:rPr>
              <w:sym w:font="Symbol" w:char="F0B1"/>
            </w:r>
            <w:r w:rsidRPr="00FA19CB">
              <w:rPr>
                <w:rFonts w:cstheme="minorHAnsi"/>
              </w:rPr>
              <w:t xml:space="preserve"> 1.75</w:t>
            </w:r>
          </w:p>
        </w:tc>
        <w:tc>
          <w:tcPr>
            <w:tcW w:w="1619" w:type="pct"/>
            <w:tcBorders>
              <w:top w:val="nil"/>
              <w:left w:val="nil"/>
              <w:bottom w:val="nil"/>
            </w:tcBorders>
            <w:vAlign w:val="center"/>
          </w:tcPr>
          <w:p w14:paraId="08264EE6" w14:textId="77777777" w:rsidR="00AB522F" w:rsidRPr="00FA19CB" w:rsidRDefault="00AB522F" w:rsidP="00AB522F">
            <w:pPr>
              <w:rPr>
                <w:rFonts w:cstheme="minorHAnsi"/>
              </w:rPr>
            </w:pPr>
            <w:r w:rsidRPr="00FA19CB">
              <w:rPr>
                <w:rFonts w:cstheme="minorHAnsi"/>
              </w:rPr>
              <w:t xml:space="preserve">34.02 </w:t>
            </w:r>
            <w:r w:rsidRPr="00FA19CB">
              <w:rPr>
                <w:rFonts w:cstheme="minorHAnsi"/>
              </w:rPr>
              <w:sym w:font="Symbol" w:char="F0B1"/>
            </w:r>
            <w:r w:rsidRPr="00FA19CB">
              <w:rPr>
                <w:rFonts w:cstheme="minorHAnsi"/>
              </w:rPr>
              <w:t xml:space="preserve"> 1.38</w:t>
            </w:r>
          </w:p>
        </w:tc>
      </w:tr>
      <w:tr w:rsidR="00AB522F" w:rsidRPr="00FA19CB" w14:paraId="708D5FDA" w14:textId="77777777" w:rsidTr="003E0D85">
        <w:trPr>
          <w:cantSplit/>
          <w:trHeight w:hRule="exact" w:val="340"/>
        </w:trPr>
        <w:tc>
          <w:tcPr>
            <w:tcW w:w="1734" w:type="pct"/>
            <w:tcBorders>
              <w:top w:val="nil"/>
              <w:bottom w:val="nil"/>
              <w:right w:val="nil"/>
            </w:tcBorders>
            <w:vAlign w:val="center"/>
          </w:tcPr>
          <w:p w14:paraId="5A10EF07" w14:textId="77777777" w:rsidR="00AB522F" w:rsidRPr="00FA19CB" w:rsidRDefault="00AB522F" w:rsidP="00AB522F">
            <w:pPr>
              <w:rPr>
                <w:rFonts w:cstheme="minorHAnsi"/>
              </w:rPr>
            </w:pPr>
            <w:r w:rsidRPr="00FA19CB">
              <w:rPr>
                <w:rFonts w:cstheme="minorHAnsi"/>
              </w:rPr>
              <w:t>Urban Rush (mins)</w:t>
            </w:r>
          </w:p>
        </w:tc>
        <w:tc>
          <w:tcPr>
            <w:tcW w:w="1647" w:type="pct"/>
            <w:tcBorders>
              <w:top w:val="nil"/>
              <w:left w:val="nil"/>
              <w:bottom w:val="nil"/>
              <w:right w:val="nil"/>
            </w:tcBorders>
            <w:vAlign w:val="center"/>
          </w:tcPr>
          <w:p w14:paraId="56AEBF86" w14:textId="77777777" w:rsidR="00AB522F" w:rsidRPr="00FA19CB" w:rsidRDefault="00AB522F" w:rsidP="00AB522F">
            <w:pPr>
              <w:rPr>
                <w:rFonts w:cstheme="minorHAnsi"/>
              </w:rPr>
            </w:pPr>
            <w:r w:rsidRPr="00FA19CB">
              <w:rPr>
                <w:rFonts w:cstheme="minorHAnsi"/>
              </w:rPr>
              <w:t xml:space="preserve">1.87 </w:t>
            </w:r>
            <w:r w:rsidRPr="00FA19CB">
              <w:rPr>
                <w:rFonts w:cstheme="minorHAnsi"/>
              </w:rPr>
              <w:sym w:font="Symbol" w:char="F0B1"/>
            </w:r>
            <w:r w:rsidRPr="00FA19CB">
              <w:rPr>
                <w:rFonts w:cstheme="minorHAnsi"/>
              </w:rPr>
              <w:t xml:space="preserve"> 0.16</w:t>
            </w:r>
          </w:p>
        </w:tc>
        <w:tc>
          <w:tcPr>
            <w:tcW w:w="1619" w:type="pct"/>
            <w:tcBorders>
              <w:top w:val="nil"/>
              <w:left w:val="nil"/>
              <w:bottom w:val="nil"/>
            </w:tcBorders>
            <w:vAlign w:val="center"/>
          </w:tcPr>
          <w:p w14:paraId="08F66BAC" w14:textId="77777777" w:rsidR="00AB522F" w:rsidRPr="00FA19CB" w:rsidRDefault="00AB522F" w:rsidP="00AB522F">
            <w:pPr>
              <w:rPr>
                <w:rFonts w:cstheme="minorHAnsi"/>
              </w:rPr>
            </w:pPr>
            <w:r w:rsidRPr="00FA19CB">
              <w:rPr>
                <w:rFonts w:cstheme="minorHAnsi"/>
              </w:rPr>
              <w:t xml:space="preserve">1.86 </w:t>
            </w:r>
            <w:r w:rsidRPr="00FA19CB">
              <w:rPr>
                <w:rFonts w:cstheme="minorHAnsi"/>
              </w:rPr>
              <w:sym w:font="Symbol" w:char="F0B1"/>
            </w:r>
            <w:r w:rsidRPr="00FA19CB">
              <w:rPr>
                <w:rFonts w:cstheme="minorHAnsi"/>
              </w:rPr>
              <w:t xml:space="preserve"> 0.15</w:t>
            </w:r>
          </w:p>
        </w:tc>
      </w:tr>
      <w:tr w:rsidR="00AB522F" w:rsidRPr="00FA19CB" w14:paraId="4AA20322" w14:textId="77777777" w:rsidTr="003E0D85">
        <w:trPr>
          <w:cantSplit/>
          <w:trHeight w:hRule="exact" w:val="340"/>
        </w:trPr>
        <w:tc>
          <w:tcPr>
            <w:tcW w:w="1734" w:type="pct"/>
            <w:tcBorders>
              <w:top w:val="nil"/>
              <w:bottom w:val="nil"/>
              <w:right w:val="nil"/>
            </w:tcBorders>
            <w:vAlign w:val="center"/>
          </w:tcPr>
          <w:p w14:paraId="7AA31B23" w14:textId="77777777" w:rsidR="00AB522F" w:rsidRPr="00FA19CB" w:rsidRDefault="00AB522F" w:rsidP="00AB522F">
            <w:pPr>
              <w:rPr>
                <w:rFonts w:cstheme="minorHAnsi"/>
              </w:rPr>
            </w:pPr>
            <w:r w:rsidRPr="00FA19CB">
              <w:rPr>
                <w:rFonts w:cstheme="minorHAnsi"/>
              </w:rPr>
              <w:t>2.4 km Loaded March (mins)</w:t>
            </w:r>
          </w:p>
        </w:tc>
        <w:tc>
          <w:tcPr>
            <w:tcW w:w="1647" w:type="pct"/>
            <w:tcBorders>
              <w:top w:val="nil"/>
              <w:left w:val="nil"/>
              <w:bottom w:val="nil"/>
              <w:right w:val="nil"/>
            </w:tcBorders>
            <w:vAlign w:val="center"/>
          </w:tcPr>
          <w:p w14:paraId="5E55121D" w14:textId="77777777" w:rsidR="00AB522F" w:rsidRPr="00FA19CB" w:rsidRDefault="00AB522F" w:rsidP="00AB522F">
            <w:pPr>
              <w:rPr>
                <w:rFonts w:cstheme="minorHAnsi"/>
              </w:rPr>
            </w:pPr>
            <w:r w:rsidRPr="00FA19CB">
              <w:rPr>
                <w:rFonts w:cstheme="minorHAnsi"/>
              </w:rPr>
              <w:t xml:space="preserve">13.64 </w:t>
            </w:r>
            <w:r w:rsidRPr="00FA19CB">
              <w:rPr>
                <w:rFonts w:cstheme="minorHAnsi"/>
              </w:rPr>
              <w:sym w:font="Symbol" w:char="F0B1"/>
            </w:r>
            <w:r w:rsidRPr="00FA19CB">
              <w:rPr>
                <w:rFonts w:cstheme="minorHAnsi"/>
              </w:rPr>
              <w:t xml:space="preserve"> 0.92</w:t>
            </w:r>
          </w:p>
        </w:tc>
        <w:tc>
          <w:tcPr>
            <w:tcW w:w="1619" w:type="pct"/>
            <w:tcBorders>
              <w:top w:val="nil"/>
              <w:left w:val="nil"/>
              <w:bottom w:val="nil"/>
            </w:tcBorders>
            <w:vAlign w:val="center"/>
          </w:tcPr>
          <w:p w14:paraId="00A4BAE1" w14:textId="77777777" w:rsidR="00AB522F" w:rsidRPr="00FA19CB" w:rsidRDefault="00AB522F" w:rsidP="00AB522F">
            <w:pPr>
              <w:rPr>
                <w:rFonts w:cstheme="minorHAnsi"/>
              </w:rPr>
            </w:pPr>
            <w:r w:rsidRPr="00FA19CB">
              <w:rPr>
                <w:rFonts w:cstheme="minorHAnsi"/>
              </w:rPr>
              <w:t xml:space="preserve">15.29 </w:t>
            </w:r>
            <w:r w:rsidRPr="00FA19CB">
              <w:rPr>
                <w:rFonts w:cstheme="minorHAnsi"/>
              </w:rPr>
              <w:sym w:font="Symbol" w:char="F0B1"/>
            </w:r>
            <w:r w:rsidRPr="00FA19CB">
              <w:rPr>
                <w:rFonts w:cstheme="minorHAnsi"/>
              </w:rPr>
              <w:t xml:space="preserve"> 1.60*</w:t>
            </w:r>
          </w:p>
        </w:tc>
      </w:tr>
      <w:tr w:rsidR="00AB522F" w:rsidRPr="00FA19CB" w14:paraId="198CE906" w14:textId="77777777" w:rsidTr="003E0D85">
        <w:trPr>
          <w:cantSplit/>
          <w:trHeight w:hRule="exact" w:val="340"/>
        </w:trPr>
        <w:tc>
          <w:tcPr>
            <w:tcW w:w="1734" w:type="pct"/>
            <w:tcBorders>
              <w:top w:val="nil"/>
              <w:bottom w:val="single" w:sz="4" w:space="0" w:color="auto"/>
              <w:right w:val="nil"/>
            </w:tcBorders>
            <w:vAlign w:val="center"/>
          </w:tcPr>
          <w:p w14:paraId="445F0E70" w14:textId="55424CB1" w:rsidR="00AB522F" w:rsidRPr="00FA19CB" w:rsidRDefault="00AB522F" w:rsidP="00AB522F">
            <w:pPr>
              <w:rPr>
                <w:rFonts w:cstheme="minorHAnsi"/>
              </w:rPr>
            </w:pPr>
            <w:r w:rsidRPr="00FA19CB">
              <w:rPr>
                <w:rFonts w:cstheme="minorHAnsi"/>
              </w:rPr>
              <w:t>10km Loaded March (mins)</w:t>
            </w:r>
          </w:p>
        </w:tc>
        <w:tc>
          <w:tcPr>
            <w:tcW w:w="1647" w:type="pct"/>
            <w:tcBorders>
              <w:top w:val="nil"/>
              <w:left w:val="nil"/>
              <w:bottom w:val="single" w:sz="4" w:space="0" w:color="auto"/>
              <w:right w:val="nil"/>
            </w:tcBorders>
            <w:vAlign w:val="center"/>
          </w:tcPr>
          <w:p w14:paraId="0DB9B0E3" w14:textId="77777777" w:rsidR="00AB522F" w:rsidRPr="00FA19CB" w:rsidRDefault="00AB522F" w:rsidP="00AB522F">
            <w:pPr>
              <w:rPr>
                <w:rFonts w:cstheme="minorHAnsi"/>
              </w:rPr>
            </w:pPr>
            <w:r w:rsidRPr="00FA19CB">
              <w:rPr>
                <w:rFonts w:cstheme="minorHAnsi"/>
              </w:rPr>
              <w:t xml:space="preserve">86.03 </w:t>
            </w:r>
            <w:r w:rsidRPr="00FA19CB">
              <w:rPr>
                <w:rFonts w:cstheme="minorHAnsi"/>
              </w:rPr>
              <w:sym w:font="Symbol" w:char="F0B1"/>
            </w:r>
            <w:r w:rsidRPr="00FA19CB">
              <w:rPr>
                <w:rFonts w:cstheme="minorHAnsi"/>
              </w:rPr>
              <w:t xml:space="preserve"> 2.26</w:t>
            </w:r>
          </w:p>
        </w:tc>
        <w:tc>
          <w:tcPr>
            <w:tcW w:w="1619" w:type="pct"/>
            <w:tcBorders>
              <w:top w:val="nil"/>
              <w:left w:val="nil"/>
              <w:bottom w:val="single" w:sz="4" w:space="0" w:color="auto"/>
            </w:tcBorders>
            <w:vAlign w:val="center"/>
          </w:tcPr>
          <w:p w14:paraId="27C3B1E8" w14:textId="77777777" w:rsidR="00AB522F" w:rsidRPr="00FA19CB" w:rsidRDefault="00AB522F" w:rsidP="00AB522F">
            <w:pPr>
              <w:rPr>
                <w:rFonts w:cstheme="minorHAnsi"/>
              </w:rPr>
            </w:pPr>
            <w:r w:rsidRPr="00FA19CB">
              <w:rPr>
                <w:rFonts w:cstheme="minorHAnsi"/>
              </w:rPr>
              <w:t xml:space="preserve">87.86 </w:t>
            </w:r>
            <w:r w:rsidRPr="00FA19CB">
              <w:rPr>
                <w:rFonts w:cstheme="minorHAnsi"/>
              </w:rPr>
              <w:sym w:font="Symbol" w:char="F0B1"/>
            </w:r>
            <w:r w:rsidRPr="00FA19CB">
              <w:rPr>
                <w:rFonts w:cstheme="minorHAnsi"/>
              </w:rPr>
              <w:t xml:space="preserve"> 2.34</w:t>
            </w:r>
          </w:p>
        </w:tc>
      </w:tr>
    </w:tbl>
    <w:p w14:paraId="555D9ACB" w14:textId="6C0B8C79" w:rsidR="00AB522F" w:rsidRPr="0050780A" w:rsidRDefault="00AB522F" w:rsidP="00AB522F">
      <w:pPr>
        <w:rPr>
          <w:rFonts w:cstheme="minorHAnsi"/>
        </w:rPr>
      </w:pPr>
      <w:r w:rsidRPr="00FA19CB">
        <w:rPr>
          <w:rFonts w:cstheme="minorHAnsi"/>
        </w:rPr>
        <w:t>Significantly difference between</w:t>
      </w:r>
      <w:r w:rsidR="0094406C">
        <w:rPr>
          <w:rFonts w:cstheme="minorHAnsi"/>
        </w:rPr>
        <w:t xml:space="preserve"> successful and unsuccessful</w:t>
      </w:r>
      <w:r w:rsidRPr="00FA19CB">
        <w:rPr>
          <w:rFonts w:cstheme="minorHAnsi"/>
        </w:rPr>
        <w:t xml:space="preserve"> applicants at *p&gt;.05 and ** p&gt;.01. </w:t>
      </w:r>
    </w:p>
    <w:sectPr w:rsidR="00AB522F" w:rsidRPr="0050780A" w:rsidSect="001E16F7">
      <w:pgSz w:w="11900"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3485E"/>
    <w:multiLevelType w:val="hybridMultilevel"/>
    <w:tmpl w:val="13668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389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8F"/>
    <w:rsid w:val="000037D3"/>
    <w:rsid w:val="00014EE1"/>
    <w:rsid w:val="00034A37"/>
    <w:rsid w:val="00094EC4"/>
    <w:rsid w:val="000C374F"/>
    <w:rsid w:val="000C3EAB"/>
    <w:rsid w:val="000F0F3B"/>
    <w:rsid w:val="0011731F"/>
    <w:rsid w:val="00122DA2"/>
    <w:rsid w:val="001B3CF5"/>
    <w:rsid w:val="001E16F7"/>
    <w:rsid w:val="001E1C1A"/>
    <w:rsid w:val="002075D3"/>
    <w:rsid w:val="00245882"/>
    <w:rsid w:val="00272F8F"/>
    <w:rsid w:val="002927CF"/>
    <w:rsid w:val="002A5304"/>
    <w:rsid w:val="002B07D2"/>
    <w:rsid w:val="002F304C"/>
    <w:rsid w:val="002F4E4E"/>
    <w:rsid w:val="003072C4"/>
    <w:rsid w:val="00325304"/>
    <w:rsid w:val="003E0D85"/>
    <w:rsid w:val="003F1B15"/>
    <w:rsid w:val="00406A00"/>
    <w:rsid w:val="00431FB5"/>
    <w:rsid w:val="00465F5D"/>
    <w:rsid w:val="00472AD1"/>
    <w:rsid w:val="00480E6A"/>
    <w:rsid w:val="0050780A"/>
    <w:rsid w:val="00554C7C"/>
    <w:rsid w:val="00601315"/>
    <w:rsid w:val="0063474B"/>
    <w:rsid w:val="00654BDA"/>
    <w:rsid w:val="00734BD0"/>
    <w:rsid w:val="007646A8"/>
    <w:rsid w:val="007757F4"/>
    <w:rsid w:val="00775F09"/>
    <w:rsid w:val="00825128"/>
    <w:rsid w:val="00835222"/>
    <w:rsid w:val="008416FE"/>
    <w:rsid w:val="0088530D"/>
    <w:rsid w:val="008927AE"/>
    <w:rsid w:val="0089298F"/>
    <w:rsid w:val="008953B8"/>
    <w:rsid w:val="008B7D4D"/>
    <w:rsid w:val="008C1337"/>
    <w:rsid w:val="008F1DEB"/>
    <w:rsid w:val="008F4BF3"/>
    <w:rsid w:val="008F54A1"/>
    <w:rsid w:val="009206AE"/>
    <w:rsid w:val="0094406C"/>
    <w:rsid w:val="0097478D"/>
    <w:rsid w:val="00974C5A"/>
    <w:rsid w:val="00984D4A"/>
    <w:rsid w:val="00987E8B"/>
    <w:rsid w:val="009B7530"/>
    <w:rsid w:val="009F16C8"/>
    <w:rsid w:val="00A40464"/>
    <w:rsid w:val="00A77FB2"/>
    <w:rsid w:val="00AB522F"/>
    <w:rsid w:val="00B25D60"/>
    <w:rsid w:val="00B53397"/>
    <w:rsid w:val="00B54909"/>
    <w:rsid w:val="00B5534F"/>
    <w:rsid w:val="00BE6A38"/>
    <w:rsid w:val="00BF49AD"/>
    <w:rsid w:val="00C30C19"/>
    <w:rsid w:val="00C52C3D"/>
    <w:rsid w:val="00CA5D13"/>
    <w:rsid w:val="00D46AF1"/>
    <w:rsid w:val="00DA2B8A"/>
    <w:rsid w:val="00DD1167"/>
    <w:rsid w:val="00DD4529"/>
    <w:rsid w:val="00DD549C"/>
    <w:rsid w:val="00DF7F73"/>
    <w:rsid w:val="00E61454"/>
    <w:rsid w:val="00E90442"/>
    <w:rsid w:val="00EC7D8F"/>
    <w:rsid w:val="00ED3FD7"/>
    <w:rsid w:val="00F814C2"/>
    <w:rsid w:val="00F91306"/>
    <w:rsid w:val="00FA19CB"/>
    <w:rsid w:val="00FF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7FB2"/>
    <w:pPr>
      <w:spacing w:beforeLines="1" w:afterLines="1"/>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A77FB2"/>
    <w:rPr>
      <w:sz w:val="16"/>
      <w:szCs w:val="16"/>
    </w:rPr>
  </w:style>
  <w:style w:type="paragraph" w:styleId="CommentText">
    <w:name w:val="annotation text"/>
    <w:basedOn w:val="Normal"/>
    <w:link w:val="CommentTextChar"/>
    <w:uiPriority w:val="99"/>
    <w:semiHidden/>
    <w:unhideWhenUsed/>
    <w:rsid w:val="00A77FB2"/>
    <w:rPr>
      <w:sz w:val="20"/>
      <w:szCs w:val="20"/>
    </w:rPr>
  </w:style>
  <w:style w:type="character" w:customStyle="1" w:styleId="CommentTextChar">
    <w:name w:val="Comment Text Char"/>
    <w:basedOn w:val="DefaultParagraphFont"/>
    <w:link w:val="CommentText"/>
    <w:uiPriority w:val="99"/>
    <w:semiHidden/>
    <w:rsid w:val="00A77FB2"/>
    <w:rPr>
      <w:sz w:val="20"/>
      <w:szCs w:val="20"/>
    </w:rPr>
  </w:style>
  <w:style w:type="paragraph" w:styleId="BalloonText">
    <w:name w:val="Balloon Text"/>
    <w:basedOn w:val="Normal"/>
    <w:link w:val="BalloonTextChar"/>
    <w:uiPriority w:val="99"/>
    <w:semiHidden/>
    <w:unhideWhenUsed/>
    <w:rsid w:val="00A77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B2"/>
    <w:rPr>
      <w:rFonts w:ascii="Segoe UI" w:hAnsi="Segoe UI" w:cs="Segoe UI"/>
      <w:sz w:val="18"/>
      <w:szCs w:val="18"/>
    </w:rPr>
  </w:style>
  <w:style w:type="table" w:styleId="TableGrid">
    <w:name w:val="Table Grid"/>
    <w:basedOn w:val="TableNormal"/>
    <w:uiPriority w:val="39"/>
    <w:rsid w:val="0024588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3authornames">
    <w:name w:val="MDPI_1.3_authornames"/>
    <w:basedOn w:val="Normal"/>
    <w:next w:val="Normal"/>
    <w:qFormat/>
    <w:rsid w:val="00465F5D"/>
    <w:pPr>
      <w:adjustRightInd w:val="0"/>
      <w:snapToGrid w:val="0"/>
      <w:spacing w:after="12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basedOn w:val="Normal"/>
    <w:qFormat/>
    <w:rsid w:val="00465F5D"/>
    <w:pPr>
      <w:adjustRightInd w:val="0"/>
      <w:snapToGrid w:val="0"/>
      <w:spacing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ListParagraph">
    <w:name w:val="List Paragraph"/>
    <w:basedOn w:val="Normal"/>
    <w:uiPriority w:val="34"/>
    <w:qFormat/>
    <w:rsid w:val="00F814C2"/>
    <w:pPr>
      <w:ind w:left="720"/>
      <w:contextualSpacing/>
    </w:pPr>
  </w:style>
  <w:style w:type="character" w:customStyle="1" w:styleId="apple-tab-span">
    <w:name w:val="apple-tab-span"/>
    <w:basedOn w:val="DefaultParagraphFont"/>
    <w:rsid w:val="002B07D2"/>
  </w:style>
  <w:style w:type="paragraph" w:styleId="CommentSubject">
    <w:name w:val="annotation subject"/>
    <w:basedOn w:val="CommentText"/>
    <w:next w:val="CommentText"/>
    <w:link w:val="CommentSubjectChar"/>
    <w:uiPriority w:val="99"/>
    <w:semiHidden/>
    <w:unhideWhenUsed/>
    <w:rsid w:val="00D46AF1"/>
    <w:rPr>
      <w:b/>
      <w:bCs/>
    </w:rPr>
  </w:style>
  <w:style w:type="character" w:customStyle="1" w:styleId="CommentSubjectChar">
    <w:name w:val="Comment Subject Char"/>
    <w:basedOn w:val="CommentTextChar"/>
    <w:link w:val="CommentSubject"/>
    <w:uiPriority w:val="99"/>
    <w:semiHidden/>
    <w:rsid w:val="00D46AF1"/>
    <w:rPr>
      <w:b/>
      <w:bCs/>
      <w:sz w:val="20"/>
      <w:szCs w:val="20"/>
    </w:rPr>
  </w:style>
  <w:style w:type="paragraph" w:styleId="Revision">
    <w:name w:val="Revision"/>
    <w:hidden/>
    <w:uiPriority w:val="99"/>
    <w:semiHidden/>
    <w:rsid w:val="00D4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99129">
      <w:bodyDiv w:val="1"/>
      <w:marLeft w:val="0"/>
      <w:marRight w:val="0"/>
      <w:marTop w:val="0"/>
      <w:marBottom w:val="0"/>
      <w:divBdr>
        <w:top w:val="none" w:sz="0" w:space="0" w:color="auto"/>
        <w:left w:val="none" w:sz="0" w:space="0" w:color="auto"/>
        <w:bottom w:val="none" w:sz="0" w:space="0" w:color="auto"/>
        <w:right w:val="none" w:sz="0" w:space="0" w:color="auto"/>
      </w:divBdr>
    </w:div>
    <w:div w:id="117769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muirhead</dc:creator>
  <cp:keywords/>
  <dc:description/>
  <cp:lastModifiedBy>Robin Orr</cp:lastModifiedBy>
  <cp:revision>7</cp:revision>
  <dcterms:created xsi:type="dcterms:W3CDTF">2022-08-19T01:15:00Z</dcterms:created>
  <dcterms:modified xsi:type="dcterms:W3CDTF">2022-08-21T21:24:00Z</dcterms:modified>
</cp:coreProperties>
</file>